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E6" w:rsidRDefault="00313A13" w:rsidP="00D17B22">
      <w:pPr>
        <w:pStyle w:val="Web"/>
        <w:spacing w:after="0"/>
        <w:jc w:val="center"/>
        <w:rPr>
          <w:rFonts w:ascii="標楷體" w:eastAsia="標楷體" w:hAnsi="標楷體" w:hint="eastAsia"/>
          <w:sz w:val="32"/>
          <w:szCs w:val="32"/>
        </w:rPr>
      </w:pPr>
      <w:r w:rsidRPr="004116C4">
        <w:rPr>
          <w:rFonts w:ascii="標楷體" w:eastAsia="標楷體" w:hAnsi="標楷體" w:hint="eastAsia"/>
          <w:bCs/>
          <w:sz w:val="32"/>
          <w:szCs w:val="32"/>
        </w:rPr>
        <w:t>花蓮縣政府所屬各級學校教育專業人員獎懲作業要點</w:t>
      </w:r>
      <w:r>
        <w:rPr>
          <w:rFonts w:ascii="標楷體" w:eastAsia="標楷體" w:hAnsi="標楷體" w:hint="eastAsia"/>
          <w:bCs/>
          <w:sz w:val="32"/>
          <w:szCs w:val="32"/>
          <w:lang w:eastAsia="zh-HK"/>
        </w:rPr>
        <w:t>第四點</w:t>
      </w:r>
      <w:r w:rsidR="00A359E6" w:rsidRPr="00A359E6">
        <w:rPr>
          <w:rFonts w:ascii="標楷體" w:eastAsia="標楷體" w:hAnsi="標楷體"/>
          <w:sz w:val="32"/>
          <w:szCs w:val="32"/>
        </w:rPr>
        <w:t>修正對照表</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78"/>
        <w:gridCol w:w="4682"/>
        <w:gridCol w:w="1260"/>
      </w:tblGrid>
      <w:tr w:rsidR="006438D4" w:rsidRPr="0043306E" w:rsidTr="00DD473B">
        <w:tc>
          <w:tcPr>
            <w:tcW w:w="4678" w:type="dxa"/>
            <w:vAlign w:val="center"/>
          </w:tcPr>
          <w:p w:rsidR="006438D4" w:rsidRPr="0043306E" w:rsidRDefault="00313A13" w:rsidP="006023D1">
            <w:pPr>
              <w:spacing w:before="100" w:beforeAutospacing="1" w:after="100" w:afterAutospacing="1"/>
              <w:jc w:val="center"/>
              <w:rPr>
                <w:rFonts w:ascii="標楷體" w:eastAsia="標楷體" w:hAnsi="標楷體"/>
                <w:sz w:val="24"/>
                <w:szCs w:val="24"/>
              </w:rPr>
            </w:pPr>
            <w:r w:rsidRPr="0043306E">
              <w:rPr>
                <w:rFonts w:ascii="標楷體" w:eastAsia="標楷體" w:hAnsi="標楷體"/>
                <w:sz w:val="24"/>
                <w:szCs w:val="24"/>
              </w:rPr>
              <w:t>修　正　規　定</w:t>
            </w:r>
          </w:p>
        </w:tc>
        <w:tc>
          <w:tcPr>
            <w:tcW w:w="4682" w:type="dxa"/>
            <w:vAlign w:val="center"/>
          </w:tcPr>
          <w:p w:rsidR="006438D4" w:rsidRPr="0043306E" w:rsidRDefault="00313A13" w:rsidP="006023D1">
            <w:pPr>
              <w:spacing w:before="100" w:beforeAutospacing="1" w:after="100" w:afterAutospacing="1"/>
              <w:jc w:val="center"/>
              <w:rPr>
                <w:rFonts w:ascii="標楷體" w:eastAsia="標楷體" w:hAnsi="標楷體"/>
                <w:sz w:val="24"/>
                <w:szCs w:val="24"/>
              </w:rPr>
            </w:pPr>
            <w:r w:rsidRPr="0043306E">
              <w:rPr>
                <w:rFonts w:ascii="標楷體" w:eastAsia="標楷體" w:hAnsi="標楷體"/>
                <w:sz w:val="24"/>
                <w:szCs w:val="24"/>
              </w:rPr>
              <w:t>現　行　規　定</w:t>
            </w:r>
          </w:p>
        </w:tc>
        <w:tc>
          <w:tcPr>
            <w:tcW w:w="1260" w:type="dxa"/>
            <w:vAlign w:val="center"/>
          </w:tcPr>
          <w:p w:rsidR="006438D4" w:rsidRPr="0043306E" w:rsidRDefault="006438D4" w:rsidP="006023D1">
            <w:pPr>
              <w:spacing w:before="100" w:beforeAutospacing="1" w:after="100" w:afterAutospacing="1"/>
              <w:jc w:val="center"/>
              <w:rPr>
                <w:rFonts w:ascii="標楷體" w:eastAsia="標楷體" w:hAnsi="標楷體"/>
                <w:sz w:val="24"/>
                <w:szCs w:val="24"/>
              </w:rPr>
            </w:pPr>
            <w:r w:rsidRPr="0043306E">
              <w:rPr>
                <w:rFonts w:ascii="標楷體" w:eastAsia="標楷體" w:hAnsi="標楷體"/>
                <w:sz w:val="24"/>
                <w:szCs w:val="24"/>
              </w:rPr>
              <w:t>說  　明</w:t>
            </w:r>
          </w:p>
        </w:tc>
      </w:tr>
      <w:tr w:rsidR="006438D4" w:rsidRPr="0043306E" w:rsidTr="00DD473B">
        <w:tc>
          <w:tcPr>
            <w:tcW w:w="4678" w:type="dxa"/>
            <w:vAlign w:val="center"/>
          </w:tcPr>
          <w:p w:rsidR="00DD473B" w:rsidRPr="00313A13" w:rsidRDefault="00DD473B" w:rsidP="00DD473B">
            <w:pPr>
              <w:jc w:val="both"/>
              <w:rPr>
                <w:rFonts w:ascii="標楷體" w:eastAsia="標楷體" w:hAnsi="標楷體" w:hint="eastAsia"/>
                <w:sz w:val="24"/>
                <w:szCs w:val="24"/>
              </w:rPr>
            </w:pPr>
            <w:r w:rsidRPr="00313A13">
              <w:rPr>
                <w:rFonts w:ascii="標楷體" w:eastAsia="標楷體" w:hAnsi="標楷體" w:hint="eastAsia"/>
                <w:sz w:val="24"/>
                <w:szCs w:val="24"/>
              </w:rPr>
              <w:t>四、作業注意事項：</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（一）</w:t>
            </w:r>
            <w:r w:rsidR="00FE73ED" w:rsidRPr="00FE73ED">
              <w:rPr>
                <w:rFonts w:ascii="標楷體" w:eastAsia="標楷體" w:hAnsi="標楷體" w:hint="eastAsia"/>
                <w:sz w:val="24"/>
                <w:szCs w:val="24"/>
                <w:u w:val="single"/>
              </w:rPr>
              <w:t>校長記大功、懲處或教師記大功（過）案件應敘明獎懲事由，函報本府提校長成績考核委員會審議核定後</w:t>
            </w:r>
            <w:r w:rsidR="00FE73ED" w:rsidRPr="00FE73ED">
              <w:rPr>
                <w:rFonts w:ascii="標楷體" w:eastAsia="標楷體" w:hAnsi="標楷體" w:hint="eastAsia"/>
                <w:sz w:val="24"/>
                <w:szCs w:val="24"/>
              </w:rPr>
              <w:t>，校長獎懲由本府發布；教師獎懲由所屬學校依核定事項據以發布。</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（二）校長記功以下平時考核獎勵案件，由本府核定發布。</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（三）教師、代理教師之記功（過）以下平時考核案件，經本府教育處核定後，由各校依公立高級中等以下學校教師成績考核辦法規定發布，但記過以下之懲處令應副知本府。</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（四）涉嫌刑事案件由司法機關偵辦中之人員，其服務學校應主動與司法機關密切聯繫，依規定適時處理並函報本府核辦。</w:t>
            </w:r>
          </w:p>
          <w:p w:rsidR="00DD473B" w:rsidRPr="00D5663D" w:rsidRDefault="00DD473B" w:rsidP="00DD473B">
            <w:pPr>
              <w:spacing w:line="340" w:lineRule="exact"/>
              <w:ind w:left="672" w:hangingChars="280" w:hanging="672"/>
              <w:jc w:val="both"/>
              <w:rPr>
                <w:rFonts w:ascii="標楷體" w:eastAsia="標楷體" w:hAnsi="標楷體" w:hint="eastAsia"/>
                <w:sz w:val="24"/>
                <w:szCs w:val="24"/>
                <w:u w:val="single"/>
              </w:rPr>
            </w:pPr>
            <w:r w:rsidRPr="00313A13">
              <w:rPr>
                <w:rFonts w:ascii="標楷體" w:eastAsia="標楷體" w:hAnsi="標楷體" w:hint="eastAsia"/>
                <w:sz w:val="24"/>
                <w:szCs w:val="24"/>
              </w:rPr>
              <w:t>（五）</w:t>
            </w:r>
            <w:r w:rsidR="00D5663D" w:rsidRPr="00D5663D">
              <w:rPr>
                <w:rFonts w:ascii="標楷體" w:eastAsia="標楷體" w:hAnsi="標楷體" w:hint="eastAsia"/>
                <w:sz w:val="24"/>
                <w:szCs w:val="24"/>
                <w:u w:val="single"/>
              </w:rPr>
              <w:t>校長具公務員懲戒法第2條事由時，應提列本府校長成績考核委員會審議後，移送公務員懲戒委員會審議；兼任行政職務教師應提列學校教師成績考核委員會審議後</w:t>
            </w:r>
            <w:r w:rsidR="005F373B">
              <w:rPr>
                <w:rFonts w:ascii="標楷體" w:eastAsia="標楷體" w:hAnsi="標楷體" w:hint="eastAsia"/>
                <w:sz w:val="24"/>
                <w:szCs w:val="24"/>
                <w:u w:val="single"/>
              </w:rPr>
              <w:t>，</w:t>
            </w:r>
            <w:r w:rsidR="00D5663D" w:rsidRPr="00D5663D">
              <w:rPr>
                <w:rFonts w:ascii="標楷體" w:eastAsia="標楷體" w:hAnsi="標楷體" w:hint="eastAsia"/>
                <w:sz w:val="24"/>
                <w:szCs w:val="24"/>
                <w:u w:val="single"/>
              </w:rPr>
              <w:t>函報本府移送公務員懲戒委員會審議；同一案件涉及人員</w:t>
            </w:r>
            <w:r w:rsidR="00876E29">
              <w:rPr>
                <w:rFonts w:ascii="標楷體" w:eastAsia="標楷體" w:hAnsi="標楷體" w:hint="eastAsia"/>
                <w:sz w:val="24"/>
                <w:szCs w:val="24"/>
                <w:u w:val="single"/>
              </w:rPr>
              <w:t>有數人時</w:t>
            </w:r>
            <w:r w:rsidR="00D5663D" w:rsidRPr="00D5663D">
              <w:rPr>
                <w:rFonts w:ascii="標楷體" w:eastAsia="標楷體" w:hAnsi="標楷體" w:hint="eastAsia"/>
                <w:sz w:val="24"/>
                <w:szCs w:val="24"/>
                <w:u w:val="single"/>
              </w:rPr>
              <w:t>，應隨同移由本府辦理。</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（六）為求時效，獎勵應於事實發生或績效評定後二個月內辦理，除具特殊理由外，逾期不予受理。</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（七）同一事項應俟全部執行完成後（含各項競賽活動初賽、複賽、決賽），視實際情形擇優辦理敘獎；經辦同性質活動各組比賽均獲獎時，以擇優不重覆敘獎為原則。</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（八）各校發布之獎懲案件應註明法令依據，如係依據中央或本府相關之計畫辦理者，應註明計畫名稱、發文日期文號。未依規定核布者，除由本府予以撤銷外，並追究相關人員責任。</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（九）非經本府核准或以個人名義參加之比賽或活動，不予敘獎。</w:t>
            </w:r>
          </w:p>
          <w:p w:rsidR="006438D4" w:rsidRPr="0043306E" w:rsidRDefault="00DD473B" w:rsidP="00DD473B">
            <w:pPr>
              <w:spacing w:line="340" w:lineRule="exact"/>
              <w:ind w:left="672" w:hangingChars="280" w:hanging="672"/>
              <w:jc w:val="both"/>
              <w:rPr>
                <w:rFonts w:ascii="標楷體" w:eastAsia="標楷體" w:hAnsi="標楷體"/>
                <w:sz w:val="24"/>
                <w:szCs w:val="24"/>
                <w:u w:val="single"/>
              </w:rPr>
            </w:pPr>
            <w:r w:rsidRPr="00313A13">
              <w:rPr>
                <w:rFonts w:ascii="標楷體" w:eastAsia="標楷體" w:hAnsi="標楷體" w:hint="eastAsia"/>
                <w:sz w:val="24"/>
                <w:szCs w:val="24"/>
              </w:rPr>
              <w:t>（十）獎懲案件經核定者，應於核定之學年度內辦理竣事。</w:t>
            </w:r>
          </w:p>
        </w:tc>
        <w:tc>
          <w:tcPr>
            <w:tcW w:w="4682" w:type="dxa"/>
          </w:tcPr>
          <w:p w:rsidR="00DD473B" w:rsidRPr="00313A13" w:rsidRDefault="00DD473B" w:rsidP="00DD473B">
            <w:pPr>
              <w:spacing w:line="340" w:lineRule="exact"/>
              <w:jc w:val="both"/>
              <w:rPr>
                <w:rFonts w:ascii="標楷體" w:eastAsia="標楷體" w:hAnsi="標楷體" w:hint="eastAsia"/>
                <w:sz w:val="24"/>
                <w:szCs w:val="24"/>
              </w:rPr>
            </w:pPr>
            <w:r w:rsidRPr="00313A13">
              <w:rPr>
                <w:rFonts w:ascii="標楷體" w:eastAsia="標楷體" w:hAnsi="標楷體" w:hint="eastAsia"/>
                <w:sz w:val="24"/>
                <w:szCs w:val="24"/>
              </w:rPr>
              <w:t>四、作業注意事項：</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（一）記大功（大過）應敘明獎懲事由，函報本府提校長成績考核委員會審議核定，校長獎懲由本府發布，教師獎懲由所屬學校依核定事項據以發布。</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（二）校長記功以下平時考核獎勵案件，由本府核定發布。</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（三）教師、代理教師之記功（過）以下平時考核案件，經本府教育處核定後，由各校依公立高級中等以下學校教師成績考核辦法規定發布，但記過以下之懲處令應副知本府。</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（四）涉嫌刑事案件由司法機關偵辦中之人員，其服務學校應主動與司法機關密切聯繫，依規定適時處理並函報本府核辦。</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（五）</w:t>
            </w:r>
            <w:r w:rsidRPr="00EF376C">
              <w:rPr>
                <w:rFonts w:ascii="標楷體" w:eastAsia="標楷體" w:hAnsi="標楷體" w:hint="eastAsia"/>
                <w:sz w:val="24"/>
                <w:szCs w:val="24"/>
                <w:u w:val="single"/>
              </w:rPr>
              <w:t>兼任行政職務教師涉嫌刑事案件，於判決確定後，應提列學校教師成績考核委員會審議後函報本府轉臺灣省政府移送公務員懲戒委員會審議。同一案件如涉及校長，應隨同移由本府辦理。</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（六）為求時效，獎勵應於事實發生或績效評定後二個月內辦理，除具特殊理由外，逾期不予受理。</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（七）同一事項應俟全部執行完成後（含各項競賽活動初賽、複賽、決賽），視實際情形擇優辦理敘獎；經辦同性質活動各組比賽均獲獎時，以擇優不重覆敘獎為原則。</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（八）各校發布之獎懲案件應註明法令依據，如係依據中央或本府相關之計畫辦理者，應註明計畫名稱、發文日期文號。未依規定核布者，除由本府予以撤銷外，並追究相關人員責任。</w:t>
            </w:r>
          </w:p>
          <w:p w:rsidR="00DD473B" w:rsidRPr="00313A13" w:rsidRDefault="00DD473B" w:rsidP="00DD473B">
            <w:pPr>
              <w:spacing w:line="340" w:lineRule="exact"/>
              <w:ind w:left="672" w:hangingChars="280" w:hanging="672"/>
              <w:jc w:val="both"/>
              <w:rPr>
                <w:rFonts w:ascii="標楷體" w:eastAsia="標楷體" w:hAnsi="標楷體" w:hint="eastAsia"/>
                <w:sz w:val="24"/>
                <w:szCs w:val="24"/>
              </w:rPr>
            </w:pPr>
            <w:r w:rsidRPr="00313A13">
              <w:rPr>
                <w:rFonts w:ascii="標楷體" w:eastAsia="標楷體" w:hAnsi="標楷體" w:hint="eastAsia"/>
                <w:sz w:val="24"/>
                <w:szCs w:val="24"/>
              </w:rPr>
              <w:t>（九）非經本府核准或以個人名義參加之比賽或活動，不予敘獎。</w:t>
            </w:r>
          </w:p>
          <w:p w:rsidR="006438D4" w:rsidRPr="0043306E" w:rsidRDefault="00DD473B" w:rsidP="00DD473B">
            <w:pPr>
              <w:pStyle w:val="a3"/>
              <w:tabs>
                <w:tab w:val="clear" w:pos="4153"/>
                <w:tab w:val="clear" w:pos="8306"/>
              </w:tabs>
              <w:snapToGrid/>
              <w:spacing w:line="340" w:lineRule="exact"/>
              <w:ind w:left="672" w:hangingChars="280" w:hanging="672"/>
              <w:jc w:val="both"/>
              <w:rPr>
                <w:rFonts w:ascii="標楷體" w:eastAsia="標楷體" w:hAnsi="標楷體"/>
                <w:sz w:val="24"/>
                <w:szCs w:val="24"/>
              </w:rPr>
            </w:pPr>
            <w:r w:rsidRPr="00313A13">
              <w:rPr>
                <w:rFonts w:ascii="標楷體" w:eastAsia="標楷體" w:hAnsi="標楷體" w:hint="eastAsia"/>
                <w:sz w:val="24"/>
                <w:szCs w:val="24"/>
              </w:rPr>
              <w:t>（十）獎懲案件經核定者，應於核定之學年度內辦理竣事。</w:t>
            </w:r>
          </w:p>
        </w:tc>
        <w:tc>
          <w:tcPr>
            <w:tcW w:w="1260" w:type="dxa"/>
          </w:tcPr>
          <w:p w:rsidR="00FE73ED" w:rsidRDefault="00AF3F2D" w:rsidP="00AF3F2D">
            <w:pPr>
              <w:jc w:val="both"/>
              <w:rPr>
                <w:rFonts w:ascii="標楷體" w:eastAsia="標楷體" w:hAnsi="標楷體" w:hint="eastAsia"/>
                <w:sz w:val="24"/>
                <w:szCs w:val="24"/>
              </w:rPr>
            </w:pPr>
            <w:r>
              <w:rPr>
                <w:rFonts w:ascii="標楷體" w:eastAsia="標楷體" w:hAnsi="標楷體" w:hint="eastAsia"/>
                <w:sz w:val="24"/>
                <w:szCs w:val="24"/>
              </w:rPr>
              <w:t>一、</w:t>
            </w:r>
            <w:r w:rsidR="003D0D64">
              <w:rPr>
                <w:rFonts w:ascii="標楷體" w:eastAsia="標楷體" w:hAnsi="標楷體" w:hint="eastAsia"/>
                <w:sz w:val="24"/>
                <w:szCs w:val="24"/>
              </w:rPr>
              <w:t>修正第一款</w:t>
            </w:r>
            <w:r w:rsidR="00FE73ED">
              <w:rPr>
                <w:rFonts w:ascii="標楷體" w:eastAsia="標楷體" w:hAnsi="標楷體" w:hint="eastAsia"/>
                <w:sz w:val="24"/>
                <w:szCs w:val="24"/>
              </w:rPr>
              <w:t>校長記大功、懲處或教師記大功（</w:t>
            </w:r>
            <w:r w:rsidR="00990421">
              <w:rPr>
                <w:rFonts w:ascii="標楷體" w:eastAsia="標楷體" w:hAnsi="標楷體" w:hint="eastAsia"/>
                <w:sz w:val="24"/>
                <w:szCs w:val="24"/>
              </w:rPr>
              <w:t>過</w:t>
            </w:r>
            <w:r w:rsidR="00FE73ED">
              <w:rPr>
                <w:rFonts w:ascii="標楷體" w:eastAsia="標楷體" w:hAnsi="標楷體" w:hint="eastAsia"/>
                <w:sz w:val="24"/>
                <w:szCs w:val="24"/>
              </w:rPr>
              <w:t>）</w:t>
            </w:r>
            <w:r w:rsidR="00990421">
              <w:rPr>
                <w:rFonts w:ascii="標楷體" w:eastAsia="標楷體" w:hAnsi="標楷體" w:hint="eastAsia"/>
                <w:sz w:val="24"/>
                <w:szCs w:val="24"/>
              </w:rPr>
              <w:t>處理流程。</w:t>
            </w:r>
          </w:p>
          <w:p w:rsidR="006438D4" w:rsidRPr="0043306E" w:rsidRDefault="00990421" w:rsidP="00AF3F2D">
            <w:pPr>
              <w:jc w:val="both"/>
              <w:rPr>
                <w:rFonts w:ascii="標楷體" w:eastAsia="標楷體" w:hAnsi="標楷體" w:hint="eastAsia"/>
                <w:sz w:val="24"/>
                <w:szCs w:val="24"/>
              </w:rPr>
            </w:pPr>
            <w:r>
              <w:rPr>
                <w:rFonts w:ascii="標楷體" w:eastAsia="標楷體" w:hAnsi="標楷體" w:hint="eastAsia"/>
                <w:sz w:val="24"/>
                <w:szCs w:val="24"/>
              </w:rPr>
              <w:t>二、</w:t>
            </w:r>
            <w:r w:rsidR="00313A13" w:rsidRPr="00313A13">
              <w:rPr>
                <w:rFonts w:ascii="標楷體" w:eastAsia="標楷體" w:hAnsi="標楷體"/>
                <w:sz w:val="24"/>
                <w:szCs w:val="24"/>
              </w:rPr>
              <w:t>為</w:t>
            </w:r>
            <w:r w:rsidR="00313A13" w:rsidRPr="00313A13">
              <w:rPr>
                <w:rFonts w:ascii="標楷體" w:eastAsia="標楷體" w:hAnsi="標楷體" w:hint="eastAsia"/>
                <w:sz w:val="24"/>
                <w:szCs w:val="24"/>
              </w:rPr>
              <w:t>因應公務員懲戒法</w:t>
            </w:r>
            <w:r w:rsidR="00313A13">
              <w:rPr>
                <w:rFonts w:ascii="標楷體" w:eastAsia="標楷體" w:hAnsi="標楷體" w:hint="eastAsia"/>
                <w:sz w:val="24"/>
                <w:szCs w:val="24"/>
                <w:lang w:eastAsia="zh-HK"/>
              </w:rPr>
              <w:t>新制第二十四條</w:t>
            </w:r>
            <w:r w:rsidR="00DE057B">
              <w:rPr>
                <w:rFonts w:ascii="標楷體" w:eastAsia="標楷體" w:hAnsi="標楷體" w:hint="eastAsia"/>
                <w:sz w:val="24"/>
                <w:szCs w:val="24"/>
              </w:rPr>
              <w:t>第一項</w:t>
            </w:r>
            <w:r w:rsidR="00313A13">
              <w:rPr>
                <w:rFonts w:ascii="標楷體" w:eastAsia="標楷體" w:hAnsi="標楷體" w:hint="eastAsia"/>
                <w:sz w:val="24"/>
                <w:szCs w:val="24"/>
                <w:lang w:eastAsia="zh-HK"/>
              </w:rPr>
              <w:t>規定，</w:t>
            </w:r>
            <w:r w:rsidR="00313A13" w:rsidRPr="00313A13">
              <w:rPr>
                <w:rFonts w:ascii="標楷體" w:eastAsia="標楷體" w:hAnsi="標楷體"/>
                <w:sz w:val="24"/>
                <w:szCs w:val="24"/>
                <w:lang w:eastAsia="zh-HK"/>
              </w:rPr>
              <w:t>爰</w:t>
            </w:r>
            <w:r w:rsidR="00D161C6">
              <w:rPr>
                <w:rFonts w:ascii="標楷體" w:eastAsia="標楷體" w:hAnsi="標楷體" w:hint="eastAsia"/>
                <w:sz w:val="24"/>
                <w:szCs w:val="24"/>
              </w:rPr>
              <w:t>刪除</w:t>
            </w:r>
            <w:r w:rsidR="003D0D64">
              <w:rPr>
                <w:rFonts w:ascii="標楷體" w:eastAsia="標楷體" w:hAnsi="標楷體" w:hint="eastAsia"/>
                <w:sz w:val="24"/>
                <w:szCs w:val="24"/>
              </w:rPr>
              <w:t>第五款</w:t>
            </w:r>
            <w:r w:rsidR="00D161C6">
              <w:rPr>
                <w:rFonts w:ascii="標楷體" w:eastAsia="標楷體" w:hAnsi="標楷體" w:hint="eastAsia"/>
                <w:sz w:val="24"/>
                <w:szCs w:val="24"/>
              </w:rPr>
              <w:t>「</w:t>
            </w:r>
            <w:r w:rsidR="00D161C6" w:rsidRPr="00D161C6">
              <w:rPr>
                <w:rFonts w:ascii="標楷體" w:eastAsia="標楷體" w:hAnsi="標楷體" w:hint="eastAsia"/>
                <w:sz w:val="24"/>
                <w:szCs w:val="24"/>
              </w:rPr>
              <w:t>轉臺灣省政府</w:t>
            </w:r>
            <w:r w:rsidR="00D161C6">
              <w:rPr>
                <w:rFonts w:ascii="標楷體" w:eastAsia="標楷體" w:hAnsi="標楷體" w:hint="eastAsia"/>
                <w:sz w:val="24"/>
                <w:szCs w:val="24"/>
              </w:rPr>
              <w:t>」之文字</w:t>
            </w:r>
            <w:r w:rsidR="00CF0F4F" w:rsidRPr="0043306E">
              <w:rPr>
                <w:rFonts w:ascii="標楷體" w:eastAsia="標楷體" w:hAnsi="標楷體"/>
                <w:sz w:val="24"/>
                <w:szCs w:val="24"/>
                <w:lang w:eastAsia="zh-HK"/>
              </w:rPr>
              <w:t>。</w:t>
            </w:r>
            <w:r w:rsidR="003D0D64">
              <w:rPr>
                <w:rFonts w:ascii="標楷體" w:eastAsia="標楷體" w:hAnsi="標楷體" w:hint="eastAsia"/>
                <w:sz w:val="24"/>
                <w:szCs w:val="24"/>
              </w:rPr>
              <w:t>並</w:t>
            </w:r>
            <w:r w:rsidR="00EF376C">
              <w:rPr>
                <w:rFonts w:ascii="標楷體" w:eastAsia="標楷體" w:hAnsi="標楷體"/>
                <w:sz w:val="24"/>
                <w:szCs w:val="24"/>
                <w:lang w:eastAsia="zh-HK"/>
              </w:rPr>
              <w:t>為</w:t>
            </w:r>
            <w:r w:rsidR="00680971">
              <w:rPr>
                <w:rFonts w:ascii="標楷體" w:eastAsia="標楷體" w:hAnsi="標楷體" w:hint="eastAsia"/>
                <w:sz w:val="24"/>
                <w:szCs w:val="24"/>
              </w:rPr>
              <w:t>明定</w:t>
            </w:r>
            <w:r w:rsidR="00EF376C">
              <w:rPr>
                <w:rFonts w:ascii="標楷體" w:eastAsia="標楷體" w:hAnsi="標楷體"/>
                <w:sz w:val="24"/>
                <w:szCs w:val="24"/>
                <w:lang w:eastAsia="zh-HK"/>
              </w:rPr>
              <w:t>移送</w:t>
            </w:r>
            <w:r w:rsidR="00894E58">
              <w:rPr>
                <w:rFonts w:ascii="標楷體" w:eastAsia="標楷體" w:hAnsi="標楷體"/>
                <w:sz w:val="24"/>
                <w:szCs w:val="24"/>
                <w:lang w:eastAsia="zh-HK"/>
              </w:rPr>
              <w:t>流程</w:t>
            </w:r>
            <w:r w:rsidR="00E254B6">
              <w:rPr>
                <w:rFonts w:ascii="標楷體" w:eastAsia="標楷體" w:hAnsi="標楷體" w:hint="eastAsia"/>
                <w:sz w:val="24"/>
                <w:szCs w:val="24"/>
              </w:rPr>
              <w:t>，酌作文字修正</w:t>
            </w:r>
            <w:r w:rsidR="00E254B6">
              <w:rPr>
                <w:rFonts w:ascii="標楷體" w:eastAsia="標楷體" w:hAnsi="標楷體"/>
                <w:sz w:val="24"/>
                <w:szCs w:val="24"/>
                <w:lang w:eastAsia="zh-HK"/>
              </w:rPr>
              <w:t>。</w:t>
            </w:r>
          </w:p>
        </w:tc>
      </w:tr>
    </w:tbl>
    <w:p w:rsidR="006438D4" w:rsidRPr="00625978" w:rsidRDefault="006438D4" w:rsidP="00625978">
      <w:pPr>
        <w:pStyle w:val="Web"/>
        <w:spacing w:after="0"/>
        <w:rPr>
          <w:rFonts w:hint="eastAsia"/>
          <w:strike/>
        </w:rPr>
      </w:pPr>
    </w:p>
    <w:sectPr w:rsidR="006438D4" w:rsidRPr="00625978" w:rsidSect="00DA1130">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C36" w:rsidRDefault="00C12C36" w:rsidP="006438D4">
      <w:r>
        <w:separator/>
      </w:r>
    </w:p>
  </w:endnote>
  <w:endnote w:type="continuationSeparator" w:id="0">
    <w:p w:rsidR="00C12C36" w:rsidRDefault="00C12C36" w:rsidP="00643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C36" w:rsidRDefault="00C12C36" w:rsidP="006438D4">
      <w:r>
        <w:separator/>
      </w:r>
    </w:p>
  </w:footnote>
  <w:footnote w:type="continuationSeparator" w:id="0">
    <w:p w:rsidR="00C12C36" w:rsidRDefault="00C12C36" w:rsidP="00643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66F56"/>
    <w:multiLevelType w:val="hybridMultilevel"/>
    <w:tmpl w:val="68807DFE"/>
    <w:lvl w:ilvl="0" w:tplc="5A4C9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B030A9"/>
    <w:multiLevelType w:val="hybridMultilevel"/>
    <w:tmpl w:val="C7025518"/>
    <w:lvl w:ilvl="0" w:tplc="8EB63DA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9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8D4"/>
    <w:rsid w:val="0001275B"/>
    <w:rsid w:val="00081CE5"/>
    <w:rsid w:val="000A7743"/>
    <w:rsid w:val="00134E01"/>
    <w:rsid w:val="001B369C"/>
    <w:rsid w:val="002650E3"/>
    <w:rsid w:val="00270ABC"/>
    <w:rsid w:val="002B33A9"/>
    <w:rsid w:val="002F229D"/>
    <w:rsid w:val="00313A13"/>
    <w:rsid w:val="00397D7F"/>
    <w:rsid w:val="003C137D"/>
    <w:rsid w:val="003D0D64"/>
    <w:rsid w:val="004260DB"/>
    <w:rsid w:val="0043306E"/>
    <w:rsid w:val="00494F1C"/>
    <w:rsid w:val="004C46ED"/>
    <w:rsid w:val="004E4EF1"/>
    <w:rsid w:val="005B608B"/>
    <w:rsid w:val="005D0840"/>
    <w:rsid w:val="005E277F"/>
    <w:rsid w:val="005F373B"/>
    <w:rsid w:val="006023D1"/>
    <w:rsid w:val="00611606"/>
    <w:rsid w:val="00625978"/>
    <w:rsid w:val="006438D4"/>
    <w:rsid w:val="00673B38"/>
    <w:rsid w:val="00680971"/>
    <w:rsid w:val="006D2B93"/>
    <w:rsid w:val="007D008B"/>
    <w:rsid w:val="00827387"/>
    <w:rsid w:val="00863B20"/>
    <w:rsid w:val="00876E29"/>
    <w:rsid w:val="00882CA1"/>
    <w:rsid w:val="00894E58"/>
    <w:rsid w:val="008C596C"/>
    <w:rsid w:val="00990421"/>
    <w:rsid w:val="0099544E"/>
    <w:rsid w:val="009C58D9"/>
    <w:rsid w:val="00A10A4B"/>
    <w:rsid w:val="00A359E6"/>
    <w:rsid w:val="00A96CD8"/>
    <w:rsid w:val="00AC2B90"/>
    <w:rsid w:val="00AE3701"/>
    <w:rsid w:val="00AF3F2D"/>
    <w:rsid w:val="00B12425"/>
    <w:rsid w:val="00BF7A7B"/>
    <w:rsid w:val="00C12C36"/>
    <w:rsid w:val="00CC2B71"/>
    <w:rsid w:val="00CD44F9"/>
    <w:rsid w:val="00CF0F4F"/>
    <w:rsid w:val="00D161C6"/>
    <w:rsid w:val="00D17B22"/>
    <w:rsid w:val="00D5663D"/>
    <w:rsid w:val="00DA1130"/>
    <w:rsid w:val="00DA38B7"/>
    <w:rsid w:val="00DD473B"/>
    <w:rsid w:val="00DE057B"/>
    <w:rsid w:val="00E254B6"/>
    <w:rsid w:val="00E41310"/>
    <w:rsid w:val="00E54337"/>
    <w:rsid w:val="00E60516"/>
    <w:rsid w:val="00EF376C"/>
    <w:rsid w:val="00F34466"/>
    <w:rsid w:val="00FE4C1F"/>
    <w:rsid w:val="00FE73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8D4"/>
    <w:pPr>
      <w:widowControl w:val="0"/>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8D4"/>
    <w:pPr>
      <w:tabs>
        <w:tab w:val="center" w:pos="4153"/>
        <w:tab w:val="right" w:pos="8306"/>
      </w:tabs>
      <w:snapToGrid w:val="0"/>
    </w:pPr>
    <w:rPr>
      <w:sz w:val="20"/>
    </w:rPr>
  </w:style>
  <w:style w:type="character" w:customStyle="1" w:styleId="a4">
    <w:name w:val="頁首 字元"/>
    <w:link w:val="a3"/>
    <w:uiPriority w:val="99"/>
    <w:rsid w:val="006438D4"/>
    <w:rPr>
      <w:sz w:val="20"/>
      <w:szCs w:val="20"/>
    </w:rPr>
  </w:style>
  <w:style w:type="paragraph" w:styleId="a5">
    <w:name w:val="footer"/>
    <w:basedOn w:val="a"/>
    <w:link w:val="a6"/>
    <w:uiPriority w:val="99"/>
    <w:unhideWhenUsed/>
    <w:rsid w:val="006438D4"/>
    <w:pPr>
      <w:tabs>
        <w:tab w:val="center" w:pos="4153"/>
        <w:tab w:val="right" w:pos="8306"/>
      </w:tabs>
      <w:snapToGrid w:val="0"/>
    </w:pPr>
    <w:rPr>
      <w:sz w:val="20"/>
    </w:rPr>
  </w:style>
  <w:style w:type="character" w:customStyle="1" w:styleId="a6">
    <w:name w:val="頁尾 字元"/>
    <w:link w:val="a5"/>
    <w:uiPriority w:val="99"/>
    <w:rsid w:val="006438D4"/>
    <w:rPr>
      <w:sz w:val="20"/>
      <w:szCs w:val="20"/>
    </w:rPr>
  </w:style>
  <w:style w:type="paragraph" w:styleId="a7">
    <w:name w:val="Salutation"/>
    <w:basedOn w:val="a"/>
    <w:next w:val="a"/>
    <w:link w:val="a8"/>
    <w:rsid w:val="006438D4"/>
    <w:rPr>
      <w:rFonts w:eastAsia="細明體"/>
      <w:spacing w:val="4"/>
    </w:rPr>
  </w:style>
  <w:style w:type="character" w:customStyle="1" w:styleId="a8">
    <w:name w:val="問候 字元"/>
    <w:link w:val="a7"/>
    <w:rsid w:val="006438D4"/>
    <w:rPr>
      <w:rFonts w:ascii="Times New Roman" w:eastAsia="細明體" w:hAnsi="Times New Roman" w:cs="Times New Roman"/>
      <w:spacing w:val="4"/>
      <w:sz w:val="18"/>
      <w:szCs w:val="20"/>
    </w:rPr>
  </w:style>
  <w:style w:type="paragraph" w:styleId="a9">
    <w:name w:val="List Paragraph"/>
    <w:basedOn w:val="a"/>
    <w:uiPriority w:val="34"/>
    <w:qFormat/>
    <w:rsid w:val="006438D4"/>
    <w:pPr>
      <w:ind w:leftChars="200" w:left="480"/>
    </w:pPr>
  </w:style>
  <w:style w:type="paragraph" w:styleId="Web">
    <w:name w:val="Normal (Web)"/>
    <w:basedOn w:val="a"/>
    <w:uiPriority w:val="99"/>
    <w:unhideWhenUsed/>
    <w:rsid w:val="00625978"/>
    <w:pPr>
      <w:widowControl/>
      <w:spacing w:before="100" w:beforeAutospacing="1" w:after="119"/>
    </w:pPr>
    <w:rPr>
      <w:rFonts w:ascii="新細明體" w:hAnsi="新細明體" w:cs="新細明體"/>
      <w:kern w:val="0"/>
      <w:sz w:val="24"/>
      <w:szCs w:val="24"/>
    </w:rPr>
  </w:style>
  <w:style w:type="paragraph" w:styleId="aa">
    <w:name w:val="Balloon Text"/>
    <w:basedOn w:val="a"/>
    <w:semiHidden/>
    <w:rsid w:val="0099544E"/>
    <w:rPr>
      <w:rFonts w:ascii="Arial" w:hAnsi="Arial"/>
      <w:szCs w:val="18"/>
    </w:rPr>
  </w:style>
</w:styles>
</file>

<file path=word/webSettings.xml><?xml version="1.0" encoding="utf-8"?>
<w:webSettings xmlns:r="http://schemas.openxmlformats.org/officeDocument/2006/relationships" xmlns:w="http://schemas.openxmlformats.org/wordprocessingml/2006/main">
  <w:divs>
    <w:div w:id="427772054">
      <w:bodyDiv w:val="1"/>
      <w:marLeft w:val="0"/>
      <w:marRight w:val="0"/>
      <w:marTop w:val="0"/>
      <w:marBottom w:val="0"/>
      <w:divBdr>
        <w:top w:val="none" w:sz="0" w:space="0" w:color="auto"/>
        <w:left w:val="none" w:sz="0" w:space="0" w:color="auto"/>
        <w:bottom w:val="none" w:sz="0" w:space="0" w:color="auto"/>
        <w:right w:val="none" w:sz="0" w:space="0" w:color="auto"/>
      </w:divBdr>
    </w:div>
    <w:div w:id="1278677102">
      <w:bodyDiv w:val="1"/>
      <w:marLeft w:val="0"/>
      <w:marRight w:val="0"/>
      <w:marTop w:val="0"/>
      <w:marBottom w:val="0"/>
      <w:divBdr>
        <w:top w:val="none" w:sz="0" w:space="0" w:color="auto"/>
        <w:left w:val="none" w:sz="0" w:space="0" w:color="auto"/>
        <w:bottom w:val="none" w:sz="0" w:space="0" w:color="auto"/>
        <w:right w:val="none" w:sz="0" w:space="0" w:color="auto"/>
      </w:divBdr>
    </w:div>
    <w:div w:id="20501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Company>hlc</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本府所屬各級學校教育專業人員獎勵案件獎勵標準表第24條第3項第1款修正草案對照表</dc:title>
  <dc:creator>hlc</dc:creator>
  <cp:lastModifiedBy>USER_1</cp:lastModifiedBy>
  <cp:revision>2</cp:revision>
  <cp:lastPrinted>2016-09-08T08:46:00Z</cp:lastPrinted>
  <dcterms:created xsi:type="dcterms:W3CDTF">2016-11-22T02:09:00Z</dcterms:created>
  <dcterms:modified xsi:type="dcterms:W3CDTF">2016-11-22T02:09:00Z</dcterms:modified>
</cp:coreProperties>
</file>